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440"/>
        <w:gridCol w:w="8928"/>
      </w:tblGrid>
      <w:tr>
        <w:tc>
          <w:tcPr>
            <w:tcW w:type="dxa" w:w="1440"/>
            <w:shd w:fill="06111E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40080" cy="64008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a-mark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400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928"/>
            <w:shd w:fill="0A1C2F"/>
          </w:tcPr>
          <w:p>
            <w:pPr>
              <w:spacing w:after="0"/>
            </w:pPr>
            <w:r>
              <w:rPr>
                <w:b/>
                <w:color w:val="FFFFFF"/>
                <w:sz w:val="34"/>
              </w:rPr>
              <w:t>TECH ARMADA</w:t>
              <w:br/>
            </w:r>
            <w:r>
              <w:rPr>
                <w:b/>
                <w:color w:val="1693F3"/>
                <w:sz w:val="25"/>
              </w:rPr>
              <w:t>Incident Response Plan Template</w:t>
              <w:br/>
            </w:r>
            <w:r>
              <w:rPr>
                <w:color w:val="DCE7F4"/>
                <w:sz w:val="19"/>
              </w:rPr>
              <w:t>For CMMC readiness, incident handling, and reporting workflows</w:t>
            </w:r>
          </w:p>
        </w:tc>
      </w:tr>
    </w:tbl>
    <w:p/>
    <w:p>
      <w:pPr>
        <w:spacing w:after="80"/>
      </w:pPr>
      <w:r>
        <w:rPr>
          <w:i/>
          <w:color w:val="5F738A"/>
          <w:sz w:val="18"/>
        </w:rPr>
        <w:t>Tailor this plan to the systems and data actually in scope. If DFARS 252.204-7012 applies, add the related cyber incident reporting and preservation steps.</w:t>
      </w:r>
    </w:p>
    <w:p>
      <w:pPr>
        <w:spacing w:before="160" w:after="80"/>
      </w:pPr>
      <w:r>
        <w:rPr>
          <w:b/>
          <w:color w:val="06111E"/>
          <w:sz w:val="28"/>
        </w:rPr>
        <w:t>1. Purpose and Scope</w:t>
      </w:r>
    </w:p>
    <w:p>
      <w:pPr>
        <w:pStyle w:val="ListBullet"/>
        <w:spacing w:after="40"/>
      </w:pPr>
      <w:r>
        <w:rPr>
          <w:sz w:val="21"/>
        </w:rPr>
        <w:t>State the systems, users, and information covered by this plan.</w:t>
      </w:r>
    </w:p>
    <w:p>
      <w:pPr>
        <w:pStyle w:val="ListBullet"/>
        <w:spacing w:after="40"/>
      </w:pPr>
      <w:r>
        <w:rPr>
          <w:sz w:val="21"/>
        </w:rPr>
        <w:t>Define what qualifies as a reportable security event or incident.</w:t>
      </w:r>
    </w:p>
    <w:p>
      <w:pPr>
        <w:spacing w:before="160" w:after="80"/>
      </w:pPr>
      <w:r>
        <w:rPr>
          <w:b/>
          <w:color w:val="06111E"/>
          <w:sz w:val="28"/>
        </w:rPr>
        <w:t>2. Roles and Escalation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016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Role</w:t>
            </w:r>
          </w:p>
        </w:tc>
        <w:tc>
          <w:tcPr>
            <w:tcW w:type="dxa" w:w="2160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Name / Team</w:t>
            </w:r>
          </w:p>
        </w:tc>
        <w:tc>
          <w:tcPr>
            <w:tcW w:type="dxa" w:w="4032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Responsibilities</w:t>
            </w:r>
          </w:p>
        </w:tc>
        <w:tc>
          <w:tcPr>
            <w:tcW w:type="dxa" w:w="1728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Contact</w:t>
            </w:r>
          </w:p>
        </w:tc>
      </w:tr>
      <w:tr>
        <w:tc>
          <w:tcPr>
            <w:tcW w:type="dxa" w:w="2016"/>
          </w:tcPr>
          <w:p>
            <w:r>
              <w:rPr>
                <w:sz w:val="19"/>
              </w:rPr>
              <w:t>Incident coordinator</w:t>
            </w:r>
          </w:p>
        </w:tc>
        <w:tc>
          <w:tcPr>
            <w:tcW w:type="dxa" w:w="2160"/>
          </w:tcPr>
          <w:p>
            <w:r>
              <w:rPr>
                <w:sz w:val="19"/>
              </w:rPr>
              <w:t>[Name]</w:t>
            </w:r>
          </w:p>
        </w:tc>
        <w:tc>
          <w:tcPr>
            <w:tcW w:type="dxa" w:w="4032"/>
          </w:tcPr>
          <w:p>
            <w:r>
              <w:rPr>
                <w:sz w:val="19"/>
              </w:rPr>
              <w:t>[Triage, coordination, approvals]</w:t>
            </w:r>
          </w:p>
        </w:tc>
        <w:tc>
          <w:tcPr>
            <w:tcW w:type="dxa" w:w="1728"/>
          </w:tcPr>
          <w:p>
            <w:r>
              <w:rPr>
                <w:sz w:val="19"/>
              </w:rPr>
              <w:t>[Email / phone]</w:t>
            </w:r>
          </w:p>
        </w:tc>
      </w:tr>
      <w:tr>
        <w:tc>
          <w:tcPr>
            <w:tcW w:type="dxa" w:w="2016"/>
          </w:tcPr>
          <w:p>
            <w:r>
              <w:rPr>
                <w:sz w:val="19"/>
              </w:rPr>
              <w:t>Technical lead</w:t>
            </w:r>
          </w:p>
        </w:tc>
        <w:tc>
          <w:tcPr>
            <w:tcW w:type="dxa" w:w="2160"/>
          </w:tcPr>
          <w:p>
            <w:r>
              <w:rPr>
                <w:sz w:val="19"/>
              </w:rPr>
              <w:t>[Name]</w:t>
            </w:r>
          </w:p>
        </w:tc>
        <w:tc>
          <w:tcPr>
            <w:tcW w:type="dxa" w:w="4032"/>
          </w:tcPr>
          <w:p>
            <w:r>
              <w:rPr>
                <w:sz w:val="19"/>
              </w:rPr>
              <w:t>[Containment, eradication, restoration]</w:t>
            </w:r>
          </w:p>
        </w:tc>
        <w:tc>
          <w:tcPr>
            <w:tcW w:type="dxa" w:w="1728"/>
          </w:tcPr>
          <w:p>
            <w:r>
              <w:rPr>
                <w:sz w:val="19"/>
              </w:rPr>
              <w:t>[Email / phone]</w:t>
            </w:r>
          </w:p>
        </w:tc>
      </w:tr>
      <w:tr>
        <w:tc>
          <w:tcPr>
            <w:tcW w:type="dxa" w:w="2016"/>
          </w:tcPr>
          <w:p>
            <w:r>
              <w:rPr>
                <w:sz w:val="19"/>
              </w:rPr>
              <w:t>Executive lead</w:t>
            </w:r>
          </w:p>
        </w:tc>
        <w:tc>
          <w:tcPr>
            <w:tcW w:type="dxa" w:w="2160"/>
          </w:tcPr>
          <w:p>
            <w:r>
              <w:rPr>
                <w:sz w:val="19"/>
              </w:rPr>
              <w:t>[Name]</w:t>
            </w:r>
          </w:p>
        </w:tc>
        <w:tc>
          <w:tcPr>
            <w:tcW w:type="dxa" w:w="4032"/>
          </w:tcPr>
          <w:p>
            <w:r>
              <w:rPr>
                <w:sz w:val="19"/>
              </w:rPr>
              <w:t>[Business decisions, external comms]</w:t>
            </w:r>
          </w:p>
        </w:tc>
        <w:tc>
          <w:tcPr>
            <w:tcW w:type="dxa" w:w="1728"/>
          </w:tcPr>
          <w:p>
            <w:r>
              <w:rPr>
                <w:sz w:val="19"/>
              </w:rPr>
              <w:t>[Email / phone]</w:t>
            </w:r>
          </w:p>
        </w:tc>
      </w:tr>
      <w:tr>
        <w:tc>
          <w:tcPr>
            <w:tcW w:type="dxa" w:w="2016"/>
          </w:tcPr>
          <w:p>
            <w:r>
              <w:rPr>
                <w:sz w:val="19"/>
              </w:rPr>
              <w:t>Legal / contracts</w:t>
            </w:r>
          </w:p>
        </w:tc>
        <w:tc>
          <w:tcPr>
            <w:tcW w:type="dxa" w:w="2160"/>
          </w:tcPr>
          <w:p>
            <w:r>
              <w:rPr>
                <w:sz w:val="19"/>
              </w:rPr>
              <w:t>[Name]</w:t>
            </w:r>
          </w:p>
        </w:tc>
        <w:tc>
          <w:tcPr>
            <w:tcW w:type="dxa" w:w="4032"/>
          </w:tcPr>
          <w:p>
            <w:r>
              <w:rPr>
                <w:sz w:val="19"/>
              </w:rPr>
              <w:t>[Clause-driven notifications]</w:t>
            </w:r>
          </w:p>
        </w:tc>
        <w:tc>
          <w:tcPr>
            <w:tcW w:type="dxa" w:w="1728"/>
          </w:tcPr>
          <w:p>
            <w:r>
              <w:rPr>
                <w:sz w:val="19"/>
              </w:rPr>
              <w:t>[Email / phone]</w:t>
            </w:r>
          </w:p>
        </w:tc>
      </w:tr>
    </w:tbl>
    <w:p/>
    <w:p>
      <w:pPr>
        <w:spacing w:before="160" w:after="80"/>
      </w:pPr>
      <w:r>
        <w:rPr>
          <w:b/>
          <w:color w:val="1693F3"/>
          <w:sz w:val="22"/>
        </w:rPr>
        <w:t>3. Detection, Triage, and Containment</w:t>
      </w:r>
    </w:p>
    <w:p>
      <w:pPr>
        <w:pStyle w:val="ListBullet"/>
        <w:spacing w:after="40"/>
      </w:pPr>
      <w:r>
        <w:rPr>
          <w:sz w:val="21"/>
        </w:rPr>
        <w:t>List detection sources such as EDR, SIEM, firewall, user reports, or service provider alerts.</w:t>
      </w:r>
    </w:p>
    <w:p>
      <w:pPr>
        <w:pStyle w:val="ListBullet"/>
        <w:spacing w:after="40"/>
      </w:pPr>
      <w:r>
        <w:rPr>
          <w:sz w:val="21"/>
        </w:rPr>
        <w:t>Define severity levels and containment decision points.</w:t>
      </w:r>
    </w:p>
    <w:p>
      <w:pPr>
        <w:pStyle w:val="ListBullet"/>
        <w:spacing w:after="40"/>
      </w:pPr>
      <w:r>
        <w:rPr>
          <w:sz w:val="21"/>
        </w:rPr>
        <w:t>Document evidence capture and case tracking expectations.</w:t>
      </w:r>
    </w:p>
    <w:p>
      <w:pPr>
        <w:spacing w:before="160" w:after="80"/>
      </w:pPr>
      <w:r>
        <w:rPr>
          <w:b/>
          <w:color w:val="1693F3"/>
          <w:sz w:val="22"/>
        </w:rPr>
        <w:t>4. Reporting and Communications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592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Trigger</w:t>
            </w:r>
          </w:p>
        </w:tc>
        <w:tc>
          <w:tcPr>
            <w:tcW w:type="dxa" w:w="2592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Internal recipient</w:t>
            </w:r>
          </w:p>
        </w:tc>
        <w:tc>
          <w:tcPr>
            <w:tcW w:type="dxa" w:w="3168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External recipient / authority</w:t>
            </w:r>
          </w:p>
        </w:tc>
        <w:tc>
          <w:tcPr>
            <w:tcW w:type="dxa" w:w="1440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Deadline / note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Suspected incident</w:t>
            </w:r>
          </w:p>
        </w:tc>
        <w:tc>
          <w:tcPr>
            <w:tcW w:type="dxa" w:w="2592"/>
          </w:tcPr>
          <w:p>
            <w:r>
              <w:rPr>
                <w:sz w:val="19"/>
              </w:rPr>
              <w:t>[IT / security lead]</w:t>
            </w:r>
          </w:p>
        </w:tc>
        <w:tc>
          <w:tcPr>
            <w:tcW w:type="dxa" w:w="3168"/>
          </w:tcPr>
          <w:p>
            <w:r>
              <w:rPr>
                <w:sz w:val="19"/>
              </w:rPr>
              <w:t>[If applicable]</w:t>
            </w:r>
          </w:p>
        </w:tc>
        <w:tc>
          <w:tcPr>
            <w:tcW w:type="dxa" w:w="1440"/>
          </w:tcPr>
          <w:p>
            <w:r>
              <w:rPr>
                <w:sz w:val="19"/>
              </w:rPr>
              <w:t>[Immediate]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Confirmed incident</w:t>
            </w:r>
          </w:p>
        </w:tc>
        <w:tc>
          <w:tcPr>
            <w:tcW w:type="dxa" w:w="2592"/>
          </w:tcPr>
          <w:p>
            <w:r>
              <w:rPr>
                <w:sz w:val="19"/>
              </w:rPr>
              <w:t>[Executive / contracts]</w:t>
            </w:r>
          </w:p>
        </w:tc>
        <w:tc>
          <w:tcPr>
            <w:tcW w:type="dxa" w:w="3168"/>
          </w:tcPr>
          <w:p>
            <w:r>
              <w:rPr>
                <w:sz w:val="19"/>
              </w:rPr>
              <w:t>[If applicable]</w:t>
            </w:r>
          </w:p>
        </w:tc>
        <w:tc>
          <w:tcPr>
            <w:tcW w:type="dxa" w:w="1440"/>
          </w:tcPr>
          <w:p>
            <w:r>
              <w:rPr>
                <w:sz w:val="19"/>
              </w:rPr>
              <w:t>[Per policy / clause]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Recovered / closed</w:t>
            </w:r>
          </w:p>
        </w:tc>
        <w:tc>
          <w:tcPr>
            <w:tcW w:type="dxa" w:w="2592"/>
          </w:tcPr>
          <w:p>
            <w:r>
              <w:rPr>
                <w:sz w:val="19"/>
              </w:rPr>
              <w:t>[Management / affected owners]</w:t>
            </w:r>
          </w:p>
        </w:tc>
        <w:tc>
          <w:tcPr>
            <w:tcW w:type="dxa" w:w="3168"/>
          </w:tcPr>
          <w:p>
            <w:r>
              <w:rPr>
                <w:sz w:val="19"/>
              </w:rPr>
              <w:t>[If applicable]</w:t>
            </w:r>
          </w:p>
        </w:tc>
        <w:tc>
          <w:tcPr>
            <w:tcW w:type="dxa" w:w="1440"/>
          </w:tcPr>
          <w:p>
            <w:r>
              <w:rPr>
                <w:sz w:val="19"/>
              </w:rPr>
              <w:t>[Closeout summary]</w:t>
            </w:r>
          </w:p>
        </w:tc>
      </w:tr>
    </w:tbl>
    <w:p/>
    <w:p>
      <w:pPr>
        <w:spacing w:before="160" w:after="80"/>
      </w:pPr>
      <w:r>
        <w:rPr>
          <w:b/>
          <w:color w:val="1693F3"/>
          <w:sz w:val="22"/>
        </w:rPr>
        <w:t>5. Lessons Learned and Corrective Actions</w:t>
      </w:r>
    </w:p>
    <w:p>
      <w:pPr>
        <w:pStyle w:val="ListBullet"/>
        <w:spacing w:after="40"/>
      </w:pPr>
      <w:r>
        <w:rPr>
          <w:sz w:val="21"/>
        </w:rPr>
        <w:t>Document the root cause, corrective actions, control updates, and evidence retained.</w:t>
      </w:r>
    </w:p>
    <w:p>
      <w:pPr>
        <w:pStyle w:val="ListBullet"/>
        <w:spacing w:after="40"/>
      </w:pPr>
      <w:r>
        <w:rPr>
          <w:sz w:val="21"/>
        </w:rPr>
        <w:t>Update the risk register, SSP, and training or procedures after each material incident.</w:t>
      </w:r>
    </w:p>
    <w:sectPr w:rsidR="00FC693F" w:rsidRPr="0006063C" w:rsidSect="00034616">
      <w:pgSz w:w="12240" w:h="15840"/>
      <w:pgMar w:top="864" w:right="1080" w:bottom="86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